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4740"/>
      </w:tblGrid>
      <w:tr>
        <w:trPr>
          <w:trHeight w:val="0"/>
        </w:trPr>
        <w:tc>
          <w:tcPr>
            <w:tcW w:w="5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Руководителю ИФНС России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(юридический и фактический):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от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отсутствии обязанности представлять расчет 6-НДФЛ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за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абзацу 3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2 статьи 230 Налогового кодекса РФ, ежеквартальный расчет по форме 6-НДФЛ представляют налоговые агенты. В частности, ими являются российские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организации, от которых или в результате отношений с которыми налогоплательщик получил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доходы, облагаемые НДФЛ (</w:t>
      </w:r>
      <w:r>
        <w:rPr>
          <w:rFonts w:hAnsi="Times New Roman" w:cs="Times New Roman"/>
          <w:color w:val="000000"/>
          <w:sz w:val="24"/>
          <w:szCs w:val="24"/>
        </w:rPr>
        <w:t>п. 1 ст. 226 НК 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течение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начисляла и не выплачивала никаких доходов физлицам, не производила удержаний и не перечисляла налог в бюджет. В связи с этим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обязана представлять расчет за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4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a79c2fb4c7f46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